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25BB8A13"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DC71D1">
        <w:rPr>
          <w:lang w:eastAsia="zh-CN"/>
        </w:rPr>
        <w:t>18</w:t>
      </w:r>
      <w:r w:rsidR="00F001B3">
        <w:rPr>
          <w:lang w:eastAsia="zh-CN"/>
        </w:rPr>
        <w:t xml:space="preserve"> de abril</w:t>
      </w:r>
      <w:r w:rsidR="000D3EDD">
        <w:rPr>
          <w:lang w:eastAsia="zh-CN"/>
        </w:rPr>
        <w:t xml:space="preserve"> </w:t>
      </w:r>
      <w:r w:rsidR="00754C42">
        <w:rPr>
          <w:lang w:eastAsia="zh-CN"/>
        </w:rPr>
        <w:t xml:space="preserve"> de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6A806B9C"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F001B3">
        <w:rPr>
          <w:rFonts w:eastAsia="Times New Roman"/>
          <w:b/>
          <w:sz w:val="32"/>
          <w:szCs w:val="32"/>
          <w:lang w:eastAsia="zh-CN"/>
        </w:rPr>
        <w:t xml:space="preserve"> 1589</w:t>
      </w:r>
    </w:p>
    <w:p w14:paraId="50B108F1" w14:textId="55DF2E6B"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F001B3">
        <w:rPr>
          <w:rFonts w:eastAsia="Times New Roman"/>
          <w:sz w:val="24"/>
          <w:szCs w:val="24"/>
          <w:lang w:eastAsia="es-ES_tradnl"/>
        </w:rPr>
        <w:t>Presencial (</w:t>
      </w:r>
      <w:r w:rsidR="00AE26AB">
        <w:rPr>
          <w:rFonts w:eastAsia="Times New Roman"/>
          <w:sz w:val="24"/>
          <w:szCs w:val="24"/>
          <w:lang w:eastAsia="es-ES_tradnl"/>
        </w:rPr>
        <w:t>Martin García 346 –4to. Piso</w:t>
      </w:r>
      <w:r w:rsidR="00F001B3">
        <w:rPr>
          <w:rFonts w:eastAsia="Times New Roman"/>
          <w:sz w:val="24"/>
          <w:szCs w:val="24"/>
          <w:lang w:eastAsia="es-ES_tradnl"/>
        </w:rPr>
        <w:t xml:space="preserve">) y Virtual </w:t>
      </w:r>
      <w:r w:rsidR="00AE26AB">
        <w:rPr>
          <w:rFonts w:eastAsia="Times New Roman"/>
          <w:sz w:val="24"/>
          <w:szCs w:val="24"/>
          <w:lang w:eastAsia="es-ES_tradnl"/>
        </w:rPr>
        <w:t xml:space="preserve">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5D9A4887"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Sandra Amerise</w:t>
      </w:r>
    </w:p>
    <w:p w14:paraId="0A261FCE" w14:textId="31719506"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Paloma Carignani</w:t>
      </w:r>
    </w:p>
    <w:p w14:paraId="7BFCC134"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Guillermo García Fahler</w:t>
      </w:r>
    </w:p>
    <w:p w14:paraId="2A8CD4EA"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Jorge Daniel Goldar</w:t>
      </w:r>
    </w:p>
    <w:p w14:paraId="77D0EA7F"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Dra. Christian Karen Lozzia</w:t>
      </w:r>
    </w:p>
    <w:p w14:paraId="24C11402"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Arq. María Celeste Mc Garry</w:t>
      </w:r>
    </w:p>
    <w:p w14:paraId="1E294C99"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Mg. Ec. Urb. Gustavo A. Mosto</w:t>
      </w:r>
    </w:p>
    <w:p w14:paraId="316C4214" w14:textId="77777777" w:rsidR="00F001B3" w:rsidRPr="00F001B3" w:rsidRDefault="00F001B3" w:rsidP="00F001B3">
      <w:pPr>
        <w:spacing w:after="0" w:line="240" w:lineRule="auto"/>
        <w:ind w:left="1416" w:firstLine="708"/>
        <w:rPr>
          <w:rFonts w:eastAsia="Times New Roman"/>
          <w:sz w:val="24"/>
          <w:szCs w:val="24"/>
          <w:lang w:eastAsia="zh-CN"/>
        </w:rPr>
      </w:pPr>
      <w:r w:rsidRPr="00F001B3">
        <w:rPr>
          <w:rFonts w:eastAsia="Times New Roman"/>
          <w:sz w:val="24"/>
          <w:szCs w:val="24"/>
          <w:lang w:eastAsia="zh-CN"/>
        </w:rPr>
        <w:t>Dra. Maria Isabel Radrizzani Halliburton</w:t>
      </w:r>
      <w:r w:rsidRPr="00F001B3">
        <w:rPr>
          <w:rFonts w:eastAsia="Times New Roman"/>
          <w:sz w:val="24"/>
          <w:szCs w:val="24"/>
          <w:lang w:val="pt-BR" w:eastAsia="zh-CN"/>
        </w:rPr>
        <w:t xml:space="preserve"> </w:t>
      </w:r>
    </w:p>
    <w:p w14:paraId="212FD175"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Arq. Gastón Rebagliati</w:t>
      </w:r>
    </w:p>
    <w:p w14:paraId="42834753"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Arq. Daniel Edgardo Sosa</w:t>
      </w:r>
    </w:p>
    <w:p w14:paraId="4154227B" w14:textId="77777777"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Dra. Victoria Velarde</w:t>
      </w:r>
    </w:p>
    <w:p w14:paraId="53BB8EAA" w14:textId="77777777" w:rsidR="00F001B3" w:rsidRPr="00F001B3" w:rsidRDefault="00F001B3" w:rsidP="00F001B3">
      <w:pPr>
        <w:spacing w:after="0" w:line="240" w:lineRule="auto"/>
        <w:ind w:left="1416" w:firstLine="708"/>
        <w:rPr>
          <w:rFonts w:eastAsia="Times New Roman"/>
          <w:b/>
          <w:sz w:val="24"/>
          <w:szCs w:val="24"/>
          <w:lang w:val="es-ES" w:eastAsia="zh-CN"/>
        </w:rPr>
      </w:pPr>
    </w:p>
    <w:p w14:paraId="5D5D029F" w14:textId="77777777" w:rsidR="00F001B3" w:rsidRPr="00F001B3" w:rsidRDefault="00F001B3" w:rsidP="00F001B3">
      <w:pPr>
        <w:spacing w:after="0" w:line="240" w:lineRule="auto"/>
        <w:rPr>
          <w:rFonts w:eastAsia="Times New Roman"/>
          <w:sz w:val="24"/>
          <w:szCs w:val="24"/>
          <w:lang w:val="es-ES" w:eastAsia="zh-CN"/>
        </w:rPr>
      </w:pPr>
      <w:r w:rsidRPr="00F001B3">
        <w:rPr>
          <w:rFonts w:eastAsia="Times New Roman"/>
          <w:b/>
          <w:sz w:val="24"/>
          <w:szCs w:val="24"/>
          <w:lang w:val="es-ES" w:eastAsia="zh-CN"/>
        </w:rPr>
        <w:t xml:space="preserve">Invitada:  </w:t>
      </w:r>
    </w:p>
    <w:p w14:paraId="543A790F" w14:textId="6E049B7B"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 xml:space="preserve">Arq. Victoria Kaufman </w:t>
      </w:r>
    </w:p>
    <w:p w14:paraId="6243127C" w14:textId="77777777" w:rsidR="00F001B3" w:rsidRPr="00F001B3" w:rsidRDefault="00F001B3" w:rsidP="00F001B3">
      <w:pPr>
        <w:spacing w:after="0" w:line="240" w:lineRule="auto"/>
        <w:ind w:left="1416" w:firstLine="708"/>
        <w:rPr>
          <w:rFonts w:eastAsia="Times New Roman"/>
          <w:b/>
          <w:sz w:val="24"/>
          <w:szCs w:val="24"/>
          <w:lang w:val="es-ES" w:eastAsia="zh-CN"/>
        </w:rPr>
      </w:pPr>
    </w:p>
    <w:p w14:paraId="4228F750" w14:textId="77777777" w:rsidR="00F001B3" w:rsidRPr="00F001B3" w:rsidRDefault="00F001B3" w:rsidP="00F001B3">
      <w:pPr>
        <w:spacing w:after="0" w:line="240" w:lineRule="auto"/>
        <w:ind w:left="1416" w:firstLine="708"/>
        <w:rPr>
          <w:rFonts w:eastAsia="Times New Roman"/>
          <w:b/>
          <w:sz w:val="24"/>
          <w:szCs w:val="24"/>
          <w:lang w:val="es-ES" w:eastAsia="zh-CN"/>
        </w:rPr>
      </w:pPr>
    </w:p>
    <w:p w14:paraId="38A490DA" w14:textId="77777777" w:rsidR="00F001B3" w:rsidRPr="00F001B3" w:rsidRDefault="00F001B3" w:rsidP="00F001B3">
      <w:pPr>
        <w:spacing w:after="0" w:line="240" w:lineRule="auto"/>
        <w:rPr>
          <w:rFonts w:eastAsia="Times New Roman"/>
          <w:sz w:val="24"/>
          <w:szCs w:val="24"/>
          <w:lang w:eastAsia="zh-CN"/>
        </w:rPr>
      </w:pPr>
      <w:r w:rsidRPr="00F001B3">
        <w:rPr>
          <w:rFonts w:eastAsia="Times New Roman"/>
          <w:b/>
          <w:sz w:val="24"/>
          <w:szCs w:val="24"/>
          <w:lang w:val="es-ES" w:eastAsia="zh-CN"/>
        </w:rPr>
        <w:t xml:space="preserve">Ausentes con aviso: </w:t>
      </w:r>
    </w:p>
    <w:p w14:paraId="52CC6234" w14:textId="511B2223" w:rsidR="00F001B3" w:rsidRPr="00F001B3" w:rsidRDefault="00F001B3" w:rsidP="00F001B3">
      <w:pPr>
        <w:spacing w:after="0" w:line="240" w:lineRule="auto"/>
        <w:ind w:left="1416" w:firstLine="708"/>
        <w:rPr>
          <w:rFonts w:eastAsia="Times New Roman"/>
          <w:sz w:val="24"/>
          <w:szCs w:val="24"/>
          <w:lang w:val="es-ES" w:eastAsia="zh-CN"/>
        </w:rPr>
      </w:pPr>
      <w:r w:rsidRPr="00F001B3">
        <w:rPr>
          <w:rFonts w:eastAsia="Times New Roman"/>
          <w:sz w:val="24"/>
          <w:szCs w:val="24"/>
          <w:lang w:val="es-ES" w:eastAsia="zh-CN"/>
        </w:rPr>
        <w:t>Lic. Claudio Bargach</w:t>
      </w:r>
    </w:p>
    <w:p w14:paraId="2CF3A205" w14:textId="77777777" w:rsidR="00CA5C2C" w:rsidRDefault="00CA5C2C" w:rsidP="006E29C6">
      <w:pPr>
        <w:spacing w:after="0" w:line="240" w:lineRule="auto"/>
        <w:jc w:val="both"/>
        <w:rPr>
          <w:rFonts w:eastAsia="Times New Roman"/>
          <w:sz w:val="24"/>
          <w:szCs w:val="24"/>
          <w:lang w:eastAsia="zh-CN"/>
        </w:rPr>
      </w:pPr>
    </w:p>
    <w:p w14:paraId="637EA1D7" w14:textId="77777777" w:rsidR="0053427B" w:rsidRDefault="0053427B" w:rsidP="006E29C6">
      <w:pPr>
        <w:spacing w:after="0" w:line="240" w:lineRule="auto"/>
        <w:jc w:val="both"/>
        <w:rPr>
          <w:rFonts w:eastAsia="Times New Roman"/>
          <w:b/>
          <w:sz w:val="24"/>
          <w:szCs w:val="24"/>
          <w:lang w:val="es-ES" w:eastAsia="es-ES_tradnl"/>
        </w:rPr>
      </w:pPr>
    </w:p>
    <w:p w14:paraId="0C41A11B" w14:textId="39127BD9" w:rsidR="00F60E75" w:rsidRDefault="00F001B3" w:rsidP="00947AD8">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Convocados</w:t>
      </w:r>
      <w:r w:rsidR="00AE26AB">
        <w:rPr>
          <w:rFonts w:eastAsia="Times New Roman"/>
          <w:b/>
          <w:sz w:val="24"/>
          <w:szCs w:val="24"/>
          <w:lang w:val="es-ES" w:eastAsia="es-ES_tradnl"/>
        </w:rPr>
        <w:t>:</w:t>
      </w:r>
      <w:r w:rsidR="00AE26AB">
        <w:rPr>
          <w:rFonts w:eastAsia="Times New Roman"/>
          <w:b/>
          <w:sz w:val="24"/>
          <w:szCs w:val="24"/>
          <w:lang w:val="es-ES" w:eastAsia="es-ES_tradnl"/>
        </w:rPr>
        <w:tab/>
      </w:r>
      <w:r w:rsidR="00AE26AB">
        <w:rPr>
          <w:rFonts w:eastAsia="Times New Roman"/>
          <w:b/>
          <w:sz w:val="24"/>
          <w:szCs w:val="24"/>
          <w:lang w:val="es-ES" w:eastAsia="es-ES_tradnl"/>
        </w:rPr>
        <w:tab/>
      </w:r>
    </w:p>
    <w:p w14:paraId="2F498B81" w14:textId="5331A703" w:rsidR="00947AD8" w:rsidRDefault="00F001B3" w:rsidP="00F001B3">
      <w:pPr>
        <w:spacing w:after="0" w:line="240" w:lineRule="auto"/>
        <w:ind w:left="1416" w:firstLine="708"/>
        <w:rPr>
          <w:rFonts w:eastAsia="Times New Roman"/>
          <w:b/>
          <w:sz w:val="24"/>
          <w:szCs w:val="24"/>
          <w:lang w:val="es-ES" w:eastAsia="es-ES_tradnl"/>
        </w:rPr>
      </w:pPr>
      <w:r>
        <w:rPr>
          <w:rFonts w:eastAsia="Times New Roman" w:cs="Calibri"/>
          <w:b/>
          <w:sz w:val="24"/>
          <w:szCs w:val="24"/>
          <w:lang w:eastAsia="es-ES_tradnl"/>
        </w:rPr>
        <w:t xml:space="preserve">FORO PARTIIPATIVO PERMANENTE </w:t>
      </w:r>
    </w:p>
    <w:p w14:paraId="0C5A9538" w14:textId="77777777" w:rsidR="00F001B3" w:rsidRDefault="00F001B3" w:rsidP="00F001B3">
      <w:pPr>
        <w:spacing w:after="0" w:line="240" w:lineRule="auto"/>
        <w:jc w:val="both"/>
        <w:rPr>
          <w:rFonts w:eastAsia="Times New Roman"/>
          <w:b/>
          <w:sz w:val="24"/>
          <w:szCs w:val="24"/>
          <w:lang w:val="es-ES" w:eastAsia="es-ES_tradnl"/>
        </w:rPr>
      </w:pPr>
    </w:p>
    <w:p w14:paraId="021CCF3C" w14:textId="4182A563" w:rsidR="00F001B3" w:rsidRDefault="008C7367" w:rsidP="00F001B3">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Participantes:</w:t>
      </w:r>
    </w:p>
    <w:p w14:paraId="246509B2" w14:textId="77777777" w:rsidR="008C7367" w:rsidRPr="008C7367" w:rsidRDefault="008C7367" w:rsidP="008C7367">
      <w:pPr>
        <w:spacing w:after="0" w:line="240" w:lineRule="auto"/>
        <w:rPr>
          <w:rFonts w:asciiTheme="minorHAnsi" w:eastAsiaTheme="minorHAnsi" w:hAnsiTheme="minorHAnsi" w:cstheme="minorBidi"/>
        </w:rPr>
      </w:pPr>
      <w:r w:rsidRPr="008C7367">
        <w:rPr>
          <w:rFonts w:asciiTheme="minorHAnsi" w:eastAsiaTheme="minorHAnsi" w:hAnsiTheme="minorHAnsi" w:cstheme="minorBidi"/>
        </w:rPr>
        <w:t>Sra. Laura Nocito, Sr, Javier Adrian Lewkowicz, Sra. Maria Cristina Solanas, Sr. Vito Giani, Sr. Jose Alberto  Rodriguez, Sra. Stella Maris Diaz,  Sr. Federico Ivan, Sra. Monica Giglio, Sr. Guillermo Rosa, Sra. Vanna Perretta Del Missier, Sr, Néstor Iglesias, Sr. Daniel Aguirre, Sr. Victor De Aspiazu, Sra. Nancy Castellanos</w:t>
      </w:r>
    </w:p>
    <w:p w14:paraId="0A1B4BB4" w14:textId="77777777" w:rsidR="00F001B3" w:rsidRDefault="00F001B3" w:rsidP="00F001B3">
      <w:pPr>
        <w:spacing w:after="0" w:line="240" w:lineRule="auto"/>
        <w:jc w:val="both"/>
        <w:rPr>
          <w:rFonts w:eastAsia="Times New Roman"/>
          <w:b/>
          <w:sz w:val="24"/>
          <w:szCs w:val="24"/>
          <w:lang w:val="es-ES" w:eastAsia="es-ES_tradnl"/>
        </w:rPr>
      </w:pPr>
    </w:p>
    <w:p w14:paraId="51D10EAF" w14:textId="2646D97C" w:rsidR="00386332" w:rsidRPr="00386332" w:rsidRDefault="00386332" w:rsidP="00F001B3">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6FAAF3DF" w14:textId="77777777" w:rsidR="00F001B3" w:rsidRDefault="00F001B3"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39F719D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6FC72CB6"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F001B3">
        <w:rPr>
          <w:rFonts w:eastAsia="Times New Roman" w:cs="Calibri"/>
          <w:sz w:val="24"/>
          <w:szCs w:val="24"/>
          <w:lang w:val="es-ES" w:eastAsia="es-AR"/>
        </w:rPr>
        <w:t>1583</w:t>
      </w:r>
      <w:r w:rsidR="009D66F3">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30C2E8A3" w14:textId="7C7D15EA" w:rsidR="000D23D8"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r w:rsidR="000D23D8">
        <w:rPr>
          <w:rFonts w:eastAsia="Montserrat" w:cs="Calibri"/>
          <w:b/>
          <w:sz w:val="24"/>
          <w:szCs w:val="24"/>
          <w:lang w:val="es-ES"/>
        </w:rPr>
        <w:t xml:space="preserve"> </w:t>
      </w:r>
    </w:p>
    <w:p w14:paraId="6DBE76EF" w14:textId="77777777" w:rsidR="0017501F" w:rsidRPr="0017501F" w:rsidRDefault="0017501F" w:rsidP="0017501F">
      <w:pPr>
        <w:spacing w:after="0" w:line="240" w:lineRule="auto"/>
        <w:jc w:val="both"/>
        <w:rPr>
          <w:rFonts w:eastAsia="Arial" w:cs="Calibri"/>
          <w:sz w:val="24"/>
          <w:szCs w:val="24"/>
          <w:lang w:eastAsia="es-AR"/>
        </w:rPr>
      </w:pPr>
      <w:r w:rsidRPr="0017501F">
        <w:rPr>
          <w:rFonts w:eastAsia="Arial" w:cs="Calibri"/>
          <w:sz w:val="24"/>
          <w:szCs w:val="24"/>
          <w:lang w:eastAsia="es-AR"/>
        </w:rPr>
        <w:t>El Consejo Asesor del Plan Urbano Ambiental (CAPUAM) realizó la primera sesión plenaria correspondiente al mes de abril con la participación del Foro Participativo Permanente (FPP). La misma se llevó a cabo de manera híbrida.</w:t>
      </w:r>
    </w:p>
    <w:p w14:paraId="3EE5A3DD" w14:textId="77777777" w:rsidR="0017501F" w:rsidRPr="0017501F" w:rsidRDefault="0017501F" w:rsidP="0017501F">
      <w:pPr>
        <w:spacing w:after="0" w:line="240" w:lineRule="auto"/>
        <w:jc w:val="both"/>
        <w:rPr>
          <w:rFonts w:eastAsia="Arial" w:cs="Calibri"/>
          <w:sz w:val="24"/>
          <w:szCs w:val="24"/>
          <w:lang w:eastAsia="es-AR"/>
        </w:rPr>
      </w:pPr>
      <w:r w:rsidRPr="0017501F">
        <w:rPr>
          <w:rFonts w:eastAsia="Arial" w:cs="Calibri"/>
          <w:sz w:val="24"/>
          <w:szCs w:val="24"/>
          <w:lang w:eastAsia="es-AR"/>
        </w:rPr>
        <w:t xml:space="preserve">El CAPUAM envió las invitaciones a todas personas inscriptas en el FPP al mail indicado en el registro que se encuentra en la página oficial del cuerpo. Asimismo, cabe destacar que mediante comunicación oficial NO-2023-11793037-GCABA-SECDU, se solicitó la difusión del evento desde el ámbito de las Juntas Comunales. </w:t>
      </w:r>
    </w:p>
    <w:p w14:paraId="0ACC24A3" w14:textId="77777777" w:rsidR="0017501F" w:rsidRPr="0017501F" w:rsidRDefault="0017501F" w:rsidP="0017501F">
      <w:pPr>
        <w:spacing w:after="0" w:line="240" w:lineRule="auto"/>
        <w:jc w:val="both"/>
        <w:rPr>
          <w:rFonts w:eastAsia="Arial" w:cs="Calibri"/>
          <w:sz w:val="24"/>
          <w:szCs w:val="24"/>
          <w:lang w:eastAsia="es-AR"/>
        </w:rPr>
      </w:pPr>
      <w:r w:rsidRPr="0017501F">
        <w:rPr>
          <w:rFonts w:eastAsia="Arial" w:cs="Calibri"/>
          <w:sz w:val="24"/>
          <w:szCs w:val="24"/>
          <w:lang w:eastAsia="es-AR"/>
        </w:rPr>
        <w:t xml:space="preserve">La consejera coordinadora de la actualización del Plan Urbano Ambiental (PUA), Paloma Carignani, inició el encuentro indicando que el objetivo del taller es adentrarse en los avances de la actualización del PUA. Enumeró las organizaciones gubernamentales, internacionales, asociaciones y entidades legislativas que participaron en la actualización. Relató que, en este caso particular, el objeto recae en arribar a un plano donde se encuentren plasmadas las acciones surgidas de los más de 150 talleres participativos. </w:t>
      </w:r>
    </w:p>
    <w:p w14:paraId="54A64267" w14:textId="77777777" w:rsidR="0017501F" w:rsidRPr="0017501F" w:rsidRDefault="0017501F" w:rsidP="0017501F">
      <w:pPr>
        <w:spacing w:after="0" w:line="240" w:lineRule="auto"/>
        <w:jc w:val="both"/>
        <w:rPr>
          <w:rFonts w:eastAsia="Arial" w:cs="Calibri"/>
          <w:sz w:val="24"/>
          <w:szCs w:val="24"/>
          <w:lang w:eastAsia="es-AR"/>
        </w:rPr>
      </w:pPr>
      <w:r w:rsidRPr="0017501F">
        <w:rPr>
          <w:rFonts w:eastAsia="Arial" w:cs="Calibri"/>
          <w:sz w:val="24"/>
          <w:szCs w:val="24"/>
          <w:lang w:eastAsia="es-AR"/>
        </w:rPr>
        <w:t>Posteriormente, el consejero Daniel Sosa, presentó desde qué criterios se construyó el plano que se presentó. Indicó que se contemplaron los antecedentes del modelo territorial, el plan de acción climática, los talleres participativos del PUA, los documentos de aportes para planes de sector y el diagnóstico elaborado con las comunas y sus planos resultantes. Destacó la colaboración de la Dirección General de Planeamiento Urbano de la Secretaría de Desarrollo Urbano para la creación de los mapas. Continuó relatando una síntesis de las conclusiones que se tomaron en las reuniones realizadas con antelación.</w:t>
      </w:r>
    </w:p>
    <w:p w14:paraId="094E444F" w14:textId="77777777" w:rsidR="0017501F" w:rsidRPr="0017501F" w:rsidRDefault="0017501F" w:rsidP="0017501F">
      <w:pPr>
        <w:spacing w:after="0" w:line="240" w:lineRule="auto"/>
        <w:jc w:val="both"/>
        <w:rPr>
          <w:rFonts w:eastAsia="Arial" w:cs="Calibri"/>
          <w:sz w:val="24"/>
          <w:szCs w:val="24"/>
          <w:lang w:eastAsia="es-AR"/>
        </w:rPr>
      </w:pPr>
      <w:r w:rsidRPr="0017501F">
        <w:rPr>
          <w:rFonts w:eastAsia="Arial" w:cs="Calibri"/>
          <w:sz w:val="24"/>
          <w:szCs w:val="24"/>
          <w:lang w:eastAsia="es-AR"/>
        </w:rPr>
        <w:t>Luego de la exposición, Carignani invitó a los presentes a focalizarse en los planos presentados, con el objeto de tratar las acciones propuestas y lograr un intercambio de opiniones. Después de analizar el gráfico, arribaron a las siguientes sugerencias:</w:t>
      </w:r>
    </w:p>
    <w:p w14:paraId="1A9F4AD7"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 xml:space="preserve">Con respecto a “interconexiones trasversales”, interrogaron a qué se refieren y la respuesta fue que son voluntades, intenciones de conexión entre el Norte y Sur de la Ciudad. Los integrantes del FPP sugirieron resaltar la visualización de este punto en el mapa. Relativo a la conexión Norte Sur, propusieron tomar en cuenta al barrio de Villa Soldati, como tema importante a tratar por el Gobierno de la Ciudad. Agregaron que sería conveniente unir los barrios de Belgrano con Mataderos traspasando por Liniers.  </w:t>
      </w:r>
    </w:p>
    <w:p w14:paraId="6C06E029"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En relación al “Paso a la costanera y Ciudad Universitaria” resaltaron la posibilidad de crear proyectos que permitan un acceso más sencillo, más accesible, más fácil.</w:t>
      </w:r>
    </w:p>
    <w:p w14:paraId="5ED27EBA"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En cuanto al “Mapa de redes productivas”, hicieron hincapié que los distritos cumplan el rol como tal, que realmente se realicen diseños que contengan prácticas ecológicas con tecnologías alternativas.En el mismo lineamiento aconsejaron mayor difusión, con sectores públicos y privados a fin de generar una conexión para informar y convocar a sumarse al trabajo mancomunado.</w:t>
      </w:r>
    </w:p>
    <w:p w14:paraId="4C548CE5" w14:textId="77777777" w:rsidR="0017501F" w:rsidRPr="0017501F" w:rsidRDefault="0017501F" w:rsidP="0017501F">
      <w:pPr>
        <w:numPr>
          <w:ilvl w:val="0"/>
          <w:numId w:val="7"/>
        </w:numPr>
        <w:spacing w:after="0" w:line="240" w:lineRule="auto"/>
        <w:jc w:val="both"/>
        <w:rPr>
          <w:rFonts w:eastAsia="Arial" w:cs="Calibri"/>
          <w:sz w:val="24"/>
          <w:szCs w:val="24"/>
          <w:lang w:eastAsia="es-AR"/>
        </w:rPr>
      </w:pPr>
      <w:bookmarkStart w:id="1" w:name="_gjdgxs" w:colFirst="0" w:colLast="0"/>
      <w:bookmarkEnd w:id="1"/>
      <w:r w:rsidRPr="0017501F">
        <w:rPr>
          <w:rFonts w:eastAsia="Arial" w:cs="Calibri"/>
          <w:sz w:val="24"/>
          <w:szCs w:val="24"/>
          <w:lang w:eastAsia="es-AR"/>
        </w:rPr>
        <w:t>Hicieron referencia en el gráfico donde se encuentran los lugares a desarrollar y puntualmente destacaron el “distrito del vino”, enfatizaron en la necesidad de sancionar una norma con la intención de dar preponderancia y se promueva la difusión de servicios comerciales vinculadas al vino.</w:t>
      </w:r>
    </w:p>
    <w:p w14:paraId="62AE1989"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 xml:space="preserve">Aconsejaron poner en valor la zona de estación Paternal desde inversiones en transporte y desarrollo cultural, entre otras. </w:t>
      </w:r>
    </w:p>
    <w:p w14:paraId="4C168FA2"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Resaltaron la necesidad de un plan para mejorar el “Premetro”.</w:t>
      </w:r>
    </w:p>
    <w:p w14:paraId="18912527"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Por otro lado, en la zona de Barracas refirieron reforzar la seguridad.</w:t>
      </w:r>
    </w:p>
    <w:p w14:paraId="134B00D8"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Seguidamente, en lo relativo a la Comuna N° 7, enfatizaron en la falta de espacios verdes y en la realización del proyecto del Soterramiento del Ferrocarril Sarmiento como una solución posible. Un tema aparte, entre las calles Varela y Castañares, las mismas se caracterizan por ser bancos de tierra, (es un depósito de AYSA), se debería tenerlas en cuenta para la construcción de espacios verdes. Por último, la dificultad de construir un viaducto, sería muy problemático más que una solución.</w:t>
      </w:r>
    </w:p>
    <w:p w14:paraId="3F6C105F" w14:textId="77777777" w:rsidR="0017501F" w:rsidRPr="0017501F" w:rsidRDefault="0017501F" w:rsidP="0017501F">
      <w:pPr>
        <w:numPr>
          <w:ilvl w:val="0"/>
          <w:numId w:val="7"/>
        </w:numPr>
        <w:spacing w:after="0" w:line="240" w:lineRule="auto"/>
        <w:jc w:val="both"/>
        <w:rPr>
          <w:rFonts w:eastAsia="Arial" w:cs="Calibri"/>
          <w:sz w:val="24"/>
          <w:szCs w:val="24"/>
          <w:lang w:eastAsia="es-AR"/>
        </w:rPr>
      </w:pPr>
      <w:r w:rsidRPr="0017501F">
        <w:rPr>
          <w:rFonts w:eastAsia="Arial" w:cs="Calibri"/>
          <w:sz w:val="24"/>
          <w:szCs w:val="24"/>
          <w:lang w:eastAsia="es-AR"/>
        </w:rPr>
        <w:t>Aconsejaron la posibilidad de poder realizar en las 15 comunas capacitaciones breves pero contundentes respecto al tema del cambio climático.</w:t>
      </w:r>
    </w:p>
    <w:p w14:paraId="2FBCE54E" w14:textId="77777777" w:rsidR="0017501F" w:rsidRPr="0017501F" w:rsidRDefault="0017501F" w:rsidP="0017501F">
      <w:pPr>
        <w:spacing w:after="0" w:line="240" w:lineRule="auto"/>
        <w:jc w:val="both"/>
        <w:rPr>
          <w:rFonts w:eastAsia="Arial" w:cs="Calibri"/>
          <w:sz w:val="24"/>
          <w:szCs w:val="24"/>
          <w:lang w:eastAsia="es-AR"/>
        </w:rPr>
      </w:pPr>
      <w:r w:rsidRPr="0017501F">
        <w:rPr>
          <w:rFonts w:eastAsia="Arial" w:cs="Calibri"/>
          <w:sz w:val="24"/>
          <w:szCs w:val="24"/>
          <w:lang w:eastAsia="es-AR"/>
        </w:rPr>
        <w:t xml:space="preserve">Carignani, agradeció la participación de los presentes, invitándolos a seguir vinculados a la actualización del PUA en las futuras convocatorias. </w:t>
      </w:r>
    </w:p>
    <w:p w14:paraId="7CB59E2D" w14:textId="77777777" w:rsidR="0017501F" w:rsidRPr="0017501F" w:rsidRDefault="0017501F" w:rsidP="0017501F">
      <w:pPr>
        <w:spacing w:after="0" w:line="360" w:lineRule="auto"/>
        <w:jc w:val="both"/>
        <w:rPr>
          <w:rFonts w:ascii="Arial" w:eastAsia="Arial" w:hAnsi="Arial" w:cs="Arial"/>
          <w:sz w:val="24"/>
          <w:szCs w:val="24"/>
          <w:lang w:eastAsia="es-AR"/>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3C3BFDF2" w14:textId="6EACD763" w:rsidR="001E5BFB"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340378" w:rsidRPr="008C5066" w14:paraId="3CB00C00" w14:textId="77777777" w:rsidTr="008A0BA0">
        <w:trPr>
          <w:trHeight w:val="1200"/>
        </w:trPr>
        <w:tc>
          <w:tcPr>
            <w:tcW w:w="2802" w:type="dxa"/>
            <w:shd w:val="clear" w:color="auto" w:fill="auto"/>
            <w:hideMark/>
          </w:tcPr>
          <w:p w14:paraId="5DA3D97B" w14:textId="77777777" w:rsidR="00340378" w:rsidRPr="008C5066" w:rsidRDefault="00340378" w:rsidP="008A0BA0">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71DB2829" w14:textId="77777777" w:rsidR="00340378" w:rsidRPr="008C5066" w:rsidRDefault="00340378" w:rsidP="008A0BA0">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FA09CFC"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p>
          <w:p w14:paraId="4FB3658F" w14:textId="77777777" w:rsidR="00340378" w:rsidRPr="008C5066" w:rsidRDefault="00340378" w:rsidP="008A0BA0">
            <w:pPr>
              <w:spacing w:after="0" w:line="240" w:lineRule="auto"/>
              <w:rPr>
                <w:rFonts w:ascii="Times New Roman" w:eastAsia="Times New Roman" w:hAnsi="Times New Roman"/>
                <w:b/>
                <w:sz w:val="18"/>
                <w:szCs w:val="18"/>
                <w:lang w:eastAsia="es-ES"/>
              </w:rPr>
            </w:pPr>
          </w:p>
          <w:p w14:paraId="304BFC16"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E12A95D" w14:textId="77777777" w:rsidR="00340378" w:rsidRPr="008C5066" w:rsidRDefault="00340378" w:rsidP="008A0BA0">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CF838AA"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39A2B08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315B95B8"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218B89CA"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4654ED10" w14:textId="77777777" w:rsidR="00340378" w:rsidRDefault="00340378" w:rsidP="0096682D">
            <w:pPr>
              <w:spacing w:after="0" w:line="240" w:lineRule="auto"/>
              <w:rPr>
                <w:rFonts w:ascii="Times New Roman" w:eastAsia="Times New Roman" w:hAnsi="Times New Roman"/>
                <w:b/>
                <w:sz w:val="18"/>
                <w:szCs w:val="18"/>
                <w:lang w:eastAsia="es-ES"/>
              </w:rPr>
            </w:pPr>
          </w:p>
          <w:p w14:paraId="431748B1"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F4C8BE2"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69F5848" w14:textId="77777777" w:rsidR="00340378" w:rsidRPr="003772A7" w:rsidRDefault="00340378" w:rsidP="008A0BA0">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0A0AB3AD" w14:textId="77777777" w:rsidR="00340378" w:rsidRDefault="00340378" w:rsidP="008A0BA0">
            <w:pPr>
              <w:spacing w:after="0" w:line="240" w:lineRule="auto"/>
              <w:rPr>
                <w:rFonts w:ascii="Times New Roman" w:eastAsia="Times New Roman" w:hAnsi="Times New Roman"/>
                <w:b/>
                <w:sz w:val="18"/>
                <w:szCs w:val="18"/>
                <w:lang w:eastAsia="es-ES"/>
              </w:rPr>
            </w:pPr>
          </w:p>
          <w:p w14:paraId="579BAE71"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A80008B" w14:textId="77777777" w:rsidR="00340378" w:rsidRDefault="00340378" w:rsidP="008A0BA0">
            <w:pPr>
              <w:spacing w:after="0" w:line="240" w:lineRule="auto"/>
              <w:rPr>
                <w:rFonts w:ascii="Times New Roman" w:eastAsia="Times New Roman" w:hAnsi="Times New Roman"/>
                <w:b/>
                <w:sz w:val="18"/>
                <w:szCs w:val="18"/>
                <w:lang w:eastAsia="es-ES"/>
              </w:rPr>
            </w:pPr>
          </w:p>
          <w:p w14:paraId="6BA17FA7" w14:textId="77777777" w:rsidR="00340378" w:rsidRDefault="00340378" w:rsidP="008A0BA0">
            <w:pPr>
              <w:spacing w:after="0" w:line="240" w:lineRule="auto"/>
              <w:rPr>
                <w:rFonts w:ascii="Times New Roman" w:eastAsia="Times New Roman" w:hAnsi="Times New Roman"/>
                <w:b/>
                <w:sz w:val="18"/>
                <w:szCs w:val="18"/>
                <w:lang w:eastAsia="es-ES"/>
              </w:rPr>
            </w:pPr>
          </w:p>
          <w:p w14:paraId="2DAB1B7C" w14:textId="77777777" w:rsidR="00340378" w:rsidRDefault="00340378" w:rsidP="008A0BA0">
            <w:pPr>
              <w:spacing w:after="0" w:line="240" w:lineRule="auto"/>
              <w:rPr>
                <w:rFonts w:ascii="Times New Roman" w:eastAsia="Times New Roman" w:hAnsi="Times New Roman"/>
                <w:b/>
                <w:sz w:val="18"/>
                <w:szCs w:val="18"/>
                <w:lang w:eastAsia="es-ES"/>
              </w:rPr>
            </w:pPr>
          </w:p>
          <w:p w14:paraId="184A3A98" w14:textId="77777777" w:rsidR="00340378" w:rsidRDefault="00340378" w:rsidP="008A0BA0">
            <w:pPr>
              <w:spacing w:after="0" w:line="240" w:lineRule="auto"/>
              <w:rPr>
                <w:rFonts w:ascii="Times New Roman" w:eastAsia="Times New Roman" w:hAnsi="Times New Roman"/>
                <w:b/>
                <w:sz w:val="18"/>
                <w:szCs w:val="18"/>
                <w:lang w:eastAsia="es-ES"/>
              </w:rPr>
            </w:pPr>
          </w:p>
          <w:p w14:paraId="72B684D3" w14:textId="77777777" w:rsidR="00340378" w:rsidRDefault="00340378" w:rsidP="008A0BA0">
            <w:pPr>
              <w:spacing w:after="0" w:line="240" w:lineRule="auto"/>
              <w:rPr>
                <w:rFonts w:ascii="Times New Roman" w:eastAsia="Times New Roman" w:hAnsi="Times New Roman"/>
                <w:b/>
                <w:sz w:val="18"/>
                <w:szCs w:val="18"/>
                <w:lang w:eastAsia="es-ES"/>
              </w:rPr>
            </w:pPr>
          </w:p>
          <w:p w14:paraId="5F1287EA" w14:textId="77777777" w:rsidR="00340378" w:rsidRDefault="00340378" w:rsidP="008A0BA0">
            <w:pPr>
              <w:spacing w:after="0" w:line="240" w:lineRule="auto"/>
              <w:rPr>
                <w:rFonts w:ascii="Times New Roman" w:eastAsia="Times New Roman" w:hAnsi="Times New Roman"/>
                <w:b/>
                <w:sz w:val="18"/>
                <w:szCs w:val="18"/>
                <w:lang w:eastAsia="es-ES"/>
              </w:rPr>
            </w:pPr>
          </w:p>
          <w:p w14:paraId="64F5002F" w14:textId="77777777" w:rsidR="00340378" w:rsidRDefault="00340378" w:rsidP="008A0BA0">
            <w:pPr>
              <w:spacing w:after="0" w:line="240" w:lineRule="auto"/>
              <w:rPr>
                <w:rFonts w:ascii="Times New Roman" w:eastAsia="Times New Roman" w:hAnsi="Times New Roman"/>
                <w:b/>
                <w:sz w:val="18"/>
                <w:szCs w:val="18"/>
                <w:lang w:eastAsia="es-ES"/>
              </w:rPr>
            </w:pPr>
          </w:p>
          <w:p w14:paraId="261505A9"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F86DE2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4405CCD2" w14:textId="77777777" w:rsidR="00340378" w:rsidRDefault="00340378" w:rsidP="008A0BA0">
            <w:pPr>
              <w:spacing w:after="0" w:line="240" w:lineRule="auto"/>
              <w:rPr>
                <w:rFonts w:ascii="Times New Roman" w:eastAsia="Times New Roman" w:hAnsi="Times New Roman"/>
                <w:b/>
                <w:sz w:val="18"/>
                <w:szCs w:val="18"/>
                <w:lang w:eastAsia="es-ES"/>
              </w:rPr>
            </w:pPr>
          </w:p>
          <w:p w14:paraId="2D8F6CC8" w14:textId="77777777" w:rsidR="00340378" w:rsidRDefault="00340378" w:rsidP="008A0BA0">
            <w:pPr>
              <w:spacing w:after="0" w:line="240" w:lineRule="auto"/>
              <w:rPr>
                <w:rFonts w:ascii="Times New Roman" w:eastAsia="Times New Roman" w:hAnsi="Times New Roman"/>
                <w:b/>
                <w:sz w:val="18"/>
                <w:szCs w:val="18"/>
                <w:lang w:eastAsia="es-ES"/>
              </w:rPr>
            </w:pPr>
          </w:p>
          <w:p w14:paraId="724CFBFC" w14:textId="77777777" w:rsidR="00340378" w:rsidRDefault="00340378" w:rsidP="008A0BA0">
            <w:pPr>
              <w:spacing w:after="0" w:line="240" w:lineRule="auto"/>
              <w:rPr>
                <w:rFonts w:ascii="Times New Roman" w:eastAsia="Times New Roman" w:hAnsi="Times New Roman"/>
                <w:b/>
                <w:sz w:val="18"/>
                <w:szCs w:val="18"/>
                <w:lang w:eastAsia="es-ES"/>
              </w:rPr>
            </w:pPr>
          </w:p>
          <w:p w14:paraId="0E6BEFC1" w14:textId="77777777" w:rsidR="00340378" w:rsidRPr="007B36C4" w:rsidRDefault="00340378" w:rsidP="008A0BA0">
            <w:pPr>
              <w:spacing w:after="0" w:line="240" w:lineRule="auto"/>
              <w:rPr>
                <w:rFonts w:ascii="Times New Roman" w:eastAsia="Times New Roman" w:hAnsi="Times New Roman"/>
                <w:b/>
                <w:sz w:val="18"/>
                <w:szCs w:val="18"/>
                <w:lang w:eastAsia="es-ES"/>
              </w:rPr>
            </w:pPr>
          </w:p>
          <w:p w14:paraId="5DD986A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D1039DD" w14:textId="77777777" w:rsidR="00340378" w:rsidRPr="008C5066" w:rsidRDefault="00340378" w:rsidP="008A0BA0">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72B9F3CF" w14:textId="77777777" w:rsidR="00340378" w:rsidRDefault="00340378" w:rsidP="0096682D">
            <w:pPr>
              <w:spacing w:after="0" w:line="240" w:lineRule="auto"/>
              <w:rPr>
                <w:rFonts w:ascii="Times New Roman" w:eastAsia="Times New Roman" w:hAnsi="Times New Roman"/>
                <w:b/>
                <w:sz w:val="18"/>
                <w:szCs w:val="18"/>
                <w:lang w:eastAsia="es-ES"/>
              </w:rPr>
            </w:pPr>
          </w:p>
          <w:p w14:paraId="62CB437C"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2AE8CC7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F7F9F13" w14:textId="77777777" w:rsidR="0096682D" w:rsidRDefault="0096682D" w:rsidP="008A0BA0">
            <w:pPr>
              <w:spacing w:after="0" w:line="240" w:lineRule="auto"/>
              <w:jc w:val="center"/>
              <w:rPr>
                <w:rFonts w:ascii="Times New Roman" w:eastAsia="Times New Roman" w:hAnsi="Times New Roman"/>
                <w:b/>
                <w:sz w:val="18"/>
                <w:szCs w:val="18"/>
                <w:lang w:eastAsia="es-ES"/>
              </w:rPr>
            </w:pPr>
          </w:p>
          <w:p w14:paraId="5E06973C" w14:textId="77777777" w:rsidR="0096682D" w:rsidRDefault="0096682D" w:rsidP="008A0BA0">
            <w:pPr>
              <w:spacing w:after="0" w:line="240" w:lineRule="auto"/>
              <w:jc w:val="center"/>
              <w:rPr>
                <w:rFonts w:ascii="Times New Roman" w:eastAsia="Times New Roman" w:hAnsi="Times New Roman"/>
                <w:b/>
                <w:sz w:val="18"/>
                <w:szCs w:val="18"/>
                <w:lang w:eastAsia="es-ES"/>
              </w:rPr>
            </w:pPr>
          </w:p>
          <w:p w14:paraId="3FF95BC2" w14:textId="77777777" w:rsidR="00340378" w:rsidRPr="007B36C4" w:rsidRDefault="00340378" w:rsidP="008A0BA0">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5C41E97B"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67A702E0" w14:textId="77777777" w:rsidR="00340378" w:rsidRDefault="00340378" w:rsidP="008A0BA0">
            <w:pPr>
              <w:spacing w:after="0" w:line="240" w:lineRule="auto"/>
              <w:rPr>
                <w:rFonts w:ascii="Times New Roman" w:eastAsia="Times New Roman" w:hAnsi="Times New Roman"/>
                <w:b/>
                <w:sz w:val="18"/>
                <w:szCs w:val="18"/>
                <w:lang w:eastAsia="es-ES"/>
              </w:rPr>
            </w:pPr>
          </w:p>
          <w:p w14:paraId="0D263A7F"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E9EDBED"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F67D901" w14:textId="77777777" w:rsidR="00340378" w:rsidRPr="00D206E8" w:rsidRDefault="00340378" w:rsidP="008A0BA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Arq. </w:t>
            </w:r>
            <w:r w:rsidRPr="00D206E8">
              <w:rPr>
                <w:rFonts w:ascii="Times New Roman" w:eastAsia="Times New Roman" w:hAnsi="Times New Roman"/>
                <w:b/>
                <w:sz w:val="18"/>
                <w:szCs w:val="18"/>
                <w:lang w:eastAsia="es-ES"/>
              </w:rPr>
              <w:t>María Celeste Mc Garry</w:t>
            </w:r>
          </w:p>
          <w:p w14:paraId="4DFCE742"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7A40BE64"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20D5065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276186A2"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376C9D2" w14:textId="77777777" w:rsidR="00340378" w:rsidRDefault="00340378" w:rsidP="008A0BA0">
            <w:pPr>
              <w:spacing w:after="0" w:line="240" w:lineRule="auto"/>
              <w:jc w:val="center"/>
              <w:rPr>
                <w:rFonts w:ascii="Times New Roman" w:eastAsia="Times New Roman" w:hAnsi="Times New Roman"/>
                <w:b/>
                <w:sz w:val="18"/>
                <w:szCs w:val="18"/>
                <w:lang w:eastAsia="es-ES"/>
              </w:rPr>
            </w:pPr>
            <w:r w:rsidRPr="002C202F">
              <w:rPr>
                <w:rFonts w:ascii="Times New Roman" w:eastAsia="Times New Roman" w:hAnsi="Times New Roman"/>
                <w:b/>
                <w:sz w:val="18"/>
                <w:szCs w:val="18"/>
                <w:lang w:eastAsia="es-ES"/>
              </w:rPr>
              <w:t>Dra.</w:t>
            </w:r>
            <w:r>
              <w:rPr>
                <w:rFonts w:ascii="Times New Roman" w:eastAsia="Times New Roman" w:hAnsi="Times New Roman"/>
                <w:b/>
                <w:sz w:val="18"/>
                <w:szCs w:val="18"/>
                <w:lang w:eastAsia="es-ES"/>
              </w:rPr>
              <w:t xml:space="preserve"> </w:t>
            </w:r>
            <w:r w:rsidRPr="003772A7">
              <w:rPr>
                <w:rFonts w:ascii="Times New Roman" w:eastAsia="Times New Roman" w:hAnsi="Times New Roman"/>
                <w:b/>
                <w:sz w:val="18"/>
                <w:szCs w:val="18"/>
                <w:lang w:eastAsia="es-ES"/>
              </w:rPr>
              <w:t xml:space="preserve">María Isabel Radrizzani  </w:t>
            </w:r>
            <w:r w:rsidRPr="003772A7">
              <w:rPr>
                <w:rFonts w:ascii="Times New Roman" w:eastAsia="Times New Roman" w:hAnsi="Times New Roman"/>
                <w:b/>
                <w:sz w:val="18"/>
                <w:szCs w:val="18"/>
                <w:lang w:val="es-ES" w:eastAsia="es-ES_tradnl"/>
              </w:rPr>
              <w:t>Halliburton</w:t>
            </w:r>
            <w:r w:rsidRPr="003772A7">
              <w:rPr>
                <w:rFonts w:ascii="Times New Roman" w:eastAsia="Times New Roman" w:hAnsi="Times New Roman"/>
                <w:b/>
                <w:sz w:val="18"/>
                <w:szCs w:val="18"/>
                <w:lang w:eastAsia="es-ES"/>
              </w:rPr>
              <w:br/>
            </w: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F295661" w14:textId="77777777" w:rsidR="00340378" w:rsidRDefault="00340378" w:rsidP="008A0BA0">
            <w:pPr>
              <w:spacing w:after="0" w:line="240" w:lineRule="auto"/>
              <w:rPr>
                <w:rFonts w:ascii="Times New Roman" w:eastAsia="Times New Roman" w:hAnsi="Times New Roman"/>
                <w:b/>
                <w:sz w:val="18"/>
                <w:szCs w:val="18"/>
                <w:lang w:eastAsia="es-ES"/>
              </w:rPr>
            </w:pPr>
          </w:p>
          <w:p w14:paraId="4FE39FF4"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A7C2FE0"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180D3D7E"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4EFCD8EC"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51AC0E2"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E666E32"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3A9E7B09" w14:textId="77777777" w:rsidR="00340378" w:rsidRDefault="00340378" w:rsidP="008A0BA0">
            <w:pPr>
              <w:tabs>
                <w:tab w:val="left" w:pos="245"/>
                <w:tab w:val="center" w:pos="1178"/>
              </w:tabs>
              <w:spacing w:after="0" w:line="240" w:lineRule="auto"/>
              <w:rPr>
                <w:rFonts w:ascii="Times New Roman" w:eastAsia="Times New Roman" w:hAnsi="Times New Roman"/>
                <w:b/>
                <w:sz w:val="18"/>
                <w:szCs w:val="18"/>
                <w:lang w:eastAsia="es-ES"/>
              </w:rPr>
            </w:pPr>
          </w:p>
          <w:p w14:paraId="6CE2E04F" w14:textId="77777777" w:rsidR="00340378" w:rsidRDefault="00340378" w:rsidP="008A0BA0">
            <w:pPr>
              <w:tabs>
                <w:tab w:val="left" w:pos="245"/>
                <w:tab w:val="center" w:pos="1178"/>
              </w:tabs>
              <w:spacing w:after="0" w:line="240" w:lineRule="auto"/>
              <w:rPr>
                <w:rFonts w:ascii="Times New Roman" w:eastAsia="Times New Roman" w:hAnsi="Times New Roman"/>
                <w:b/>
                <w:sz w:val="18"/>
                <w:szCs w:val="18"/>
                <w:lang w:eastAsia="es-ES"/>
              </w:rPr>
            </w:pPr>
          </w:p>
          <w:p w14:paraId="56C420F2" w14:textId="77777777" w:rsidR="00340378" w:rsidRDefault="00340378" w:rsidP="008A0BA0">
            <w:pPr>
              <w:tabs>
                <w:tab w:val="left" w:pos="245"/>
                <w:tab w:val="center" w:pos="1178"/>
              </w:tabs>
              <w:spacing w:after="0" w:line="240" w:lineRule="auto"/>
              <w:rPr>
                <w:rFonts w:ascii="Times New Roman" w:eastAsia="Times New Roman" w:hAnsi="Times New Roman"/>
                <w:b/>
                <w:sz w:val="18"/>
                <w:szCs w:val="18"/>
                <w:lang w:eastAsia="es-ES"/>
              </w:rPr>
            </w:pPr>
          </w:p>
          <w:p w14:paraId="3D30D3A2" w14:textId="77777777" w:rsidR="00340378" w:rsidRDefault="00340378" w:rsidP="008A0BA0">
            <w:pPr>
              <w:tabs>
                <w:tab w:val="left" w:pos="245"/>
                <w:tab w:val="center" w:pos="1178"/>
              </w:tabs>
              <w:spacing w:after="0" w:line="240" w:lineRule="auto"/>
              <w:rPr>
                <w:rFonts w:ascii="Times New Roman" w:eastAsia="Times New Roman" w:hAnsi="Times New Roman"/>
                <w:b/>
                <w:sz w:val="18"/>
                <w:szCs w:val="18"/>
                <w:lang w:eastAsia="es-ES"/>
              </w:rPr>
            </w:pPr>
          </w:p>
          <w:p w14:paraId="1533C106"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D80CE7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17E3394"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18D8802"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DA7AD5C" w14:textId="77777777" w:rsidR="00340378" w:rsidRDefault="00340378" w:rsidP="008A0BA0">
            <w:pPr>
              <w:spacing w:after="0" w:line="240" w:lineRule="auto"/>
              <w:rPr>
                <w:rFonts w:ascii="Times New Roman" w:eastAsia="Times New Roman" w:hAnsi="Times New Roman"/>
                <w:b/>
                <w:sz w:val="18"/>
                <w:szCs w:val="18"/>
                <w:lang w:eastAsia="es-ES"/>
              </w:rPr>
            </w:pPr>
          </w:p>
          <w:p w14:paraId="04B28D59"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0E54A86"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768E38E"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5DEE6F23" w14:textId="77777777" w:rsidR="00340378" w:rsidRPr="004D5BEF" w:rsidRDefault="00340378" w:rsidP="008A0BA0">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1F2A8688" w14:textId="77777777" w:rsidR="00340378" w:rsidRPr="004D5BEF" w:rsidRDefault="00340378" w:rsidP="008A0BA0">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4C4F20DE" w14:textId="65ED22E7" w:rsidR="00340378" w:rsidRDefault="00340378" w:rsidP="00445993">
            <w:pPr>
              <w:spacing w:after="0" w:line="240" w:lineRule="auto"/>
              <w:rPr>
                <w:rFonts w:ascii="Times New Roman" w:eastAsia="Times New Roman" w:hAnsi="Times New Roman"/>
                <w:b/>
                <w:sz w:val="18"/>
                <w:szCs w:val="18"/>
                <w:lang w:eastAsia="es-ES"/>
              </w:rPr>
            </w:pPr>
          </w:p>
          <w:p w14:paraId="12ACBE1E"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80633B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0FB5490"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74E80B06" w14:textId="77777777" w:rsidR="00340378" w:rsidRDefault="00340378" w:rsidP="008A0BA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4FBE8FC"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4F25AC24" w14:textId="77777777" w:rsidR="00340378" w:rsidRDefault="00340378" w:rsidP="008A0BA0">
            <w:pPr>
              <w:spacing w:after="0" w:line="240" w:lineRule="auto"/>
              <w:rPr>
                <w:rFonts w:ascii="Times New Roman" w:eastAsia="Times New Roman" w:hAnsi="Times New Roman"/>
                <w:b/>
                <w:sz w:val="18"/>
                <w:szCs w:val="18"/>
                <w:lang w:eastAsia="es-ES"/>
              </w:rPr>
            </w:pPr>
          </w:p>
          <w:p w14:paraId="7349BB70"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EA8BA23" w14:textId="77777777" w:rsidR="00340378" w:rsidRDefault="00340378" w:rsidP="008A0BA0">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59F9B3B2" w14:textId="77777777" w:rsidR="00340378" w:rsidRPr="003772A7" w:rsidRDefault="00340378" w:rsidP="008A0BA0">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5B6F8B8E"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149A2E5"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0FB2300"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8775E67" w14:textId="77777777" w:rsidR="006F3DF2" w:rsidRDefault="006F3DF2" w:rsidP="006F3DF2">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666D3C3B" w14:textId="77777777" w:rsidR="006F3DF2" w:rsidRDefault="006F3DF2" w:rsidP="006F3DF2">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1D7AA1DA" w14:textId="77777777" w:rsidR="00340378" w:rsidRDefault="00340378" w:rsidP="008A0BA0">
            <w:pPr>
              <w:spacing w:after="0" w:line="240" w:lineRule="auto"/>
              <w:jc w:val="center"/>
              <w:rPr>
                <w:rFonts w:ascii="Times New Roman" w:eastAsia="Times New Roman" w:hAnsi="Times New Roman"/>
                <w:b/>
                <w:sz w:val="18"/>
                <w:szCs w:val="18"/>
                <w:lang w:eastAsia="es-ES"/>
              </w:rPr>
            </w:pPr>
            <w:bookmarkStart w:id="2" w:name="_GoBack"/>
            <w:bookmarkEnd w:id="2"/>
          </w:p>
          <w:p w14:paraId="049FDC6D"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3D7E5DE"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C9A25D5"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10AA07FE"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60143CF"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993404D"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116BD97"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07407BF"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E5A0593"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3E94BFE1"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B91EEA8"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87D8DA7"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3B02BCA"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788CC257"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4B087B44"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1F6DBCB1"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4FEC95BC"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4239396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285C9BD5"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03D30BAE"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5273C8C2"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p>
          <w:p w14:paraId="3EE99D4F"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2344A995"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1C2A705B"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23250184" w14:textId="77777777" w:rsidR="00340378" w:rsidRDefault="00340378" w:rsidP="008A0BA0">
            <w:pPr>
              <w:spacing w:after="0" w:line="240" w:lineRule="auto"/>
              <w:rPr>
                <w:rFonts w:ascii="Times New Roman" w:eastAsia="Times New Roman" w:hAnsi="Times New Roman"/>
                <w:b/>
                <w:sz w:val="18"/>
                <w:szCs w:val="18"/>
                <w:lang w:eastAsia="es-ES"/>
              </w:rPr>
            </w:pPr>
          </w:p>
          <w:p w14:paraId="5DB7F01B" w14:textId="77777777" w:rsidR="00340378" w:rsidRDefault="00340378" w:rsidP="008A0BA0">
            <w:pPr>
              <w:tabs>
                <w:tab w:val="left" w:pos="245"/>
                <w:tab w:val="center" w:pos="1178"/>
              </w:tabs>
              <w:spacing w:after="0" w:line="240" w:lineRule="auto"/>
              <w:rPr>
                <w:rFonts w:ascii="Times New Roman" w:eastAsia="Times New Roman" w:hAnsi="Times New Roman"/>
                <w:b/>
                <w:sz w:val="18"/>
                <w:szCs w:val="18"/>
                <w:lang w:eastAsia="es-ES"/>
              </w:rPr>
            </w:pPr>
          </w:p>
          <w:p w14:paraId="74831CC3"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4F366B0" w14:textId="77777777" w:rsidR="00340378" w:rsidRDefault="00340378" w:rsidP="008A0BA0">
            <w:pPr>
              <w:spacing w:after="0" w:line="240" w:lineRule="auto"/>
              <w:jc w:val="center"/>
              <w:rPr>
                <w:rFonts w:ascii="Times New Roman" w:eastAsia="Times New Roman" w:hAnsi="Times New Roman"/>
                <w:b/>
                <w:sz w:val="18"/>
                <w:szCs w:val="18"/>
                <w:lang w:eastAsia="es-ES"/>
              </w:rPr>
            </w:pPr>
          </w:p>
          <w:p w14:paraId="68B765E5" w14:textId="77777777" w:rsidR="00340378" w:rsidRDefault="00340378" w:rsidP="008A0BA0">
            <w:pPr>
              <w:spacing w:after="0" w:line="240" w:lineRule="auto"/>
              <w:rPr>
                <w:rFonts w:ascii="Times New Roman" w:eastAsia="Times New Roman" w:hAnsi="Times New Roman"/>
                <w:b/>
                <w:sz w:val="18"/>
                <w:szCs w:val="18"/>
                <w:lang w:eastAsia="es-ES"/>
              </w:rPr>
            </w:pPr>
          </w:p>
          <w:p w14:paraId="5ECCFAF9" w14:textId="77777777" w:rsidR="00340378" w:rsidRPr="008C5066" w:rsidRDefault="00340378" w:rsidP="008A0BA0">
            <w:pPr>
              <w:spacing w:after="0" w:line="240" w:lineRule="auto"/>
              <w:rPr>
                <w:rFonts w:ascii="Times New Roman" w:eastAsia="Times New Roman" w:hAnsi="Times New Roman"/>
                <w:b/>
                <w:sz w:val="18"/>
                <w:szCs w:val="18"/>
                <w:lang w:eastAsia="es-ES"/>
              </w:rPr>
            </w:pPr>
          </w:p>
          <w:p w14:paraId="78C51B2A" w14:textId="77777777" w:rsidR="00340378" w:rsidRPr="008C5066" w:rsidRDefault="00340378" w:rsidP="008A0BA0">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0AC6DDB"/>
    <w:multiLevelType w:val="multilevel"/>
    <w:tmpl w:val="675C8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6">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1"/>
  </w:num>
  <w:num w:numId="3">
    <w:abstractNumId w:val="0"/>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60984"/>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23D8"/>
    <w:rsid w:val="000D3EDD"/>
    <w:rsid w:val="000D4F17"/>
    <w:rsid w:val="000D5C5B"/>
    <w:rsid w:val="000E7216"/>
    <w:rsid w:val="000F655E"/>
    <w:rsid w:val="00100A42"/>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501F"/>
    <w:rsid w:val="00176C02"/>
    <w:rsid w:val="001820BD"/>
    <w:rsid w:val="001925C3"/>
    <w:rsid w:val="00195A3C"/>
    <w:rsid w:val="001B06B3"/>
    <w:rsid w:val="001B1462"/>
    <w:rsid w:val="001B2AD7"/>
    <w:rsid w:val="001B3212"/>
    <w:rsid w:val="001B3A67"/>
    <w:rsid w:val="001B3E60"/>
    <w:rsid w:val="001D601B"/>
    <w:rsid w:val="001D618E"/>
    <w:rsid w:val="001E2E19"/>
    <w:rsid w:val="001E5AF8"/>
    <w:rsid w:val="001E5BFB"/>
    <w:rsid w:val="001F5DA1"/>
    <w:rsid w:val="0020653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0378"/>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5993"/>
    <w:rsid w:val="00447364"/>
    <w:rsid w:val="0044799E"/>
    <w:rsid w:val="00447FF8"/>
    <w:rsid w:val="00454834"/>
    <w:rsid w:val="00463A4B"/>
    <w:rsid w:val="0047027E"/>
    <w:rsid w:val="004702A9"/>
    <w:rsid w:val="0047513A"/>
    <w:rsid w:val="0047721F"/>
    <w:rsid w:val="004807B4"/>
    <w:rsid w:val="0049006F"/>
    <w:rsid w:val="0049044D"/>
    <w:rsid w:val="00493711"/>
    <w:rsid w:val="004A1C7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27B"/>
    <w:rsid w:val="00534318"/>
    <w:rsid w:val="005345D9"/>
    <w:rsid w:val="005367E9"/>
    <w:rsid w:val="00536F40"/>
    <w:rsid w:val="00537CA4"/>
    <w:rsid w:val="005448FA"/>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F3CEF"/>
    <w:rsid w:val="005F5566"/>
    <w:rsid w:val="005F67A6"/>
    <w:rsid w:val="00600C12"/>
    <w:rsid w:val="00611E0F"/>
    <w:rsid w:val="0061279C"/>
    <w:rsid w:val="0061734D"/>
    <w:rsid w:val="00617F9E"/>
    <w:rsid w:val="00623AC6"/>
    <w:rsid w:val="00625490"/>
    <w:rsid w:val="00625CD7"/>
    <w:rsid w:val="00626C35"/>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D197F"/>
    <w:rsid w:val="006D4418"/>
    <w:rsid w:val="006D66F2"/>
    <w:rsid w:val="006E02C4"/>
    <w:rsid w:val="006E29C6"/>
    <w:rsid w:val="006F3DF2"/>
    <w:rsid w:val="006F5CB1"/>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367"/>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6682D"/>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E19F1"/>
    <w:rsid w:val="00AE1B19"/>
    <w:rsid w:val="00AE26AB"/>
    <w:rsid w:val="00AF0EDD"/>
    <w:rsid w:val="00AF1C9A"/>
    <w:rsid w:val="00AF5B98"/>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5C2C"/>
    <w:rsid w:val="00CA69DD"/>
    <w:rsid w:val="00CA7524"/>
    <w:rsid w:val="00CB1406"/>
    <w:rsid w:val="00CB46E2"/>
    <w:rsid w:val="00CC494F"/>
    <w:rsid w:val="00CC663A"/>
    <w:rsid w:val="00CC79FC"/>
    <w:rsid w:val="00CD1F96"/>
    <w:rsid w:val="00CE7C43"/>
    <w:rsid w:val="00CF00A6"/>
    <w:rsid w:val="00CF63B5"/>
    <w:rsid w:val="00D02151"/>
    <w:rsid w:val="00D062E4"/>
    <w:rsid w:val="00D06D6E"/>
    <w:rsid w:val="00D12D9B"/>
    <w:rsid w:val="00D1313C"/>
    <w:rsid w:val="00D13F69"/>
    <w:rsid w:val="00D17273"/>
    <w:rsid w:val="00D1762B"/>
    <w:rsid w:val="00D20806"/>
    <w:rsid w:val="00D23078"/>
    <w:rsid w:val="00D26242"/>
    <w:rsid w:val="00D31751"/>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C71D1"/>
    <w:rsid w:val="00DD4C51"/>
    <w:rsid w:val="00DD7470"/>
    <w:rsid w:val="00DE1B18"/>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E7E47"/>
    <w:rsid w:val="00EF0C86"/>
    <w:rsid w:val="00EF1121"/>
    <w:rsid w:val="00EF493A"/>
    <w:rsid w:val="00EF5D2D"/>
    <w:rsid w:val="00F001B3"/>
    <w:rsid w:val="00F0038C"/>
    <w:rsid w:val="00F00A58"/>
    <w:rsid w:val="00F01C50"/>
    <w:rsid w:val="00F06CD3"/>
    <w:rsid w:val="00F15AF9"/>
    <w:rsid w:val="00F17410"/>
    <w:rsid w:val="00F239D8"/>
    <w:rsid w:val="00F26151"/>
    <w:rsid w:val="00F30232"/>
    <w:rsid w:val="00F308A6"/>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CFD02-A98E-4EE3-9285-3559A683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1107</Words>
  <Characters>6092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11</cp:revision>
  <cp:lastPrinted>2022-11-30T19:27:00Z</cp:lastPrinted>
  <dcterms:created xsi:type="dcterms:W3CDTF">2023-04-18T19:38:00Z</dcterms:created>
  <dcterms:modified xsi:type="dcterms:W3CDTF">2023-05-08T14:01:00Z</dcterms:modified>
</cp:coreProperties>
</file>